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708" w:rsidRPr="00182708" w:rsidRDefault="00182708" w:rsidP="003B6AB6">
      <w:pPr>
        <w:spacing w:before="240" w:after="200" w:line="276" w:lineRule="auto"/>
        <w:jc w:val="center"/>
        <w:rPr>
          <w:rFonts w:ascii="Georgia" w:eastAsiaTheme="minorEastAsia" w:hAnsi="Georgia"/>
          <w:bCs/>
          <w:sz w:val="32"/>
        </w:rPr>
      </w:pPr>
      <w:r w:rsidRPr="00182708">
        <w:rPr>
          <w:rFonts w:ascii="Georgia" w:eastAsiaTheme="minorEastAsia" w:hAnsi="Georgia"/>
          <w:bCs/>
          <w:sz w:val="32"/>
        </w:rPr>
        <w:t xml:space="preserve">Village of Flossmoor </w:t>
      </w:r>
      <w:r w:rsidRPr="00182708">
        <w:rPr>
          <w:rFonts w:ascii="Georgia" w:eastAsiaTheme="minorEastAsia" w:hAnsi="Georgia"/>
          <w:bCs/>
          <w:sz w:val="32"/>
        </w:rPr>
        <w:br/>
        <w:t xml:space="preserve">Policy Providing </w:t>
      </w:r>
      <w:r w:rsidR="00545106">
        <w:rPr>
          <w:rFonts w:ascii="Georgia" w:eastAsiaTheme="minorEastAsia" w:hAnsi="Georgia"/>
          <w:bCs/>
          <w:sz w:val="32"/>
        </w:rPr>
        <w:t>Rules</w:t>
      </w:r>
      <w:r w:rsidRPr="00182708">
        <w:rPr>
          <w:rFonts w:ascii="Georgia" w:eastAsiaTheme="minorEastAsia" w:hAnsi="Georgia"/>
          <w:bCs/>
          <w:sz w:val="32"/>
        </w:rPr>
        <w:t xml:space="preserve"> for Public Comment </w:t>
      </w:r>
      <w:r w:rsidR="00AF4789">
        <w:rPr>
          <w:rFonts w:ascii="Georgia" w:eastAsiaTheme="minorEastAsia" w:hAnsi="Georgia"/>
          <w:bCs/>
          <w:sz w:val="32"/>
        </w:rPr>
        <w:t xml:space="preserve">&amp; </w:t>
      </w:r>
      <w:r w:rsidRPr="00182708">
        <w:rPr>
          <w:rFonts w:ascii="Georgia" w:eastAsiaTheme="minorEastAsia" w:hAnsi="Georgia"/>
          <w:bCs/>
          <w:sz w:val="32"/>
        </w:rPr>
        <w:t>Recording of Meetings</w:t>
      </w:r>
    </w:p>
    <w:p w:rsidR="00182708" w:rsidRPr="00182708" w:rsidRDefault="00182708" w:rsidP="00182708">
      <w:pPr>
        <w:spacing w:after="200" w:line="276" w:lineRule="auto"/>
        <w:ind w:left="720"/>
        <w:jc w:val="both"/>
        <w:rPr>
          <w:rFonts w:ascii="Arial" w:eastAsiaTheme="minorEastAsia" w:hAnsi="Arial" w:cs="Arial"/>
        </w:rPr>
      </w:pPr>
      <w:r w:rsidRPr="00182708">
        <w:rPr>
          <w:rFonts w:ascii="Arial" w:eastAsiaTheme="minorEastAsia" w:hAnsi="Arial" w:cs="Arial"/>
        </w:rPr>
        <w:t xml:space="preserve">The Village of Flossmoor </w:t>
      </w:r>
      <w:r w:rsidR="002B657F" w:rsidRPr="00182708">
        <w:rPr>
          <w:rFonts w:ascii="Arial" w:eastAsiaTheme="minorEastAsia" w:hAnsi="Arial" w:cs="Arial"/>
        </w:rPr>
        <w:t xml:space="preserve">appreciates members of the community who are actively engaged and informed </w:t>
      </w:r>
      <w:r w:rsidR="002B657F">
        <w:rPr>
          <w:rFonts w:ascii="Arial" w:eastAsiaTheme="minorEastAsia" w:hAnsi="Arial" w:cs="Arial"/>
        </w:rPr>
        <w:t xml:space="preserve">and </w:t>
      </w:r>
      <w:r w:rsidRPr="00182708">
        <w:rPr>
          <w:rFonts w:ascii="Arial" w:eastAsiaTheme="minorEastAsia" w:hAnsi="Arial" w:cs="Arial"/>
        </w:rPr>
        <w:t xml:space="preserve">welcomes public comment.  While Village staff is available to help the public resolve concerns, often the public is provided an opportunity to address the public body </w:t>
      </w:r>
      <w:r w:rsidR="002B657F">
        <w:rPr>
          <w:rFonts w:ascii="Arial" w:eastAsiaTheme="minorEastAsia" w:hAnsi="Arial" w:cs="Arial"/>
        </w:rPr>
        <w:t xml:space="preserve">about their concerns </w:t>
      </w:r>
      <w:r w:rsidRPr="00182708">
        <w:rPr>
          <w:rFonts w:ascii="Arial" w:eastAsiaTheme="minorEastAsia" w:hAnsi="Arial" w:cs="Arial"/>
        </w:rPr>
        <w:t xml:space="preserve">at a meeting.  </w:t>
      </w:r>
      <w:r>
        <w:rPr>
          <w:rFonts w:ascii="Arial" w:eastAsiaTheme="minorEastAsia" w:hAnsi="Arial" w:cs="Arial"/>
        </w:rPr>
        <w:t>R</w:t>
      </w:r>
      <w:r w:rsidRPr="00182708">
        <w:rPr>
          <w:rFonts w:ascii="Arial" w:eastAsiaTheme="minorEastAsia" w:hAnsi="Arial" w:cs="Arial"/>
        </w:rPr>
        <w:t xml:space="preserve">egular meetings may provide an agenda item for public comment for matters not listed on the agenda.  A maximum of 30 minutes during each regular meeting shall be allowed for persons to address the board or committee on any public matter not on the agenda.  In addition, the public body chair shall permit any person an opportunity to address the board or committee regarding an individual agenda item prior to the board or committee voting on that matter.  </w:t>
      </w:r>
    </w:p>
    <w:p w:rsidR="00182708" w:rsidRPr="00182708" w:rsidRDefault="00182708" w:rsidP="00182708">
      <w:pPr>
        <w:spacing w:after="200" w:line="276" w:lineRule="auto"/>
        <w:ind w:left="720"/>
        <w:jc w:val="both"/>
        <w:rPr>
          <w:rFonts w:ascii="Arial" w:eastAsiaTheme="minorEastAsia" w:hAnsi="Arial" w:cs="Arial"/>
          <w:b/>
          <w:u w:val="single"/>
        </w:rPr>
      </w:pPr>
      <w:r w:rsidRPr="00182708">
        <w:rPr>
          <w:rFonts w:ascii="Arial" w:eastAsiaTheme="minorEastAsia" w:hAnsi="Arial" w:cs="Arial"/>
          <w:b/>
          <w:u w:val="single"/>
        </w:rPr>
        <w:t>Public Comment</w:t>
      </w:r>
    </w:p>
    <w:p w:rsidR="00182708" w:rsidRPr="00182708" w:rsidRDefault="00182708" w:rsidP="00182708">
      <w:pPr>
        <w:spacing w:after="200" w:line="276" w:lineRule="auto"/>
        <w:ind w:left="720"/>
        <w:jc w:val="both"/>
        <w:rPr>
          <w:rFonts w:ascii="Arial" w:eastAsiaTheme="minorEastAsia" w:hAnsi="Arial" w:cs="Arial"/>
        </w:rPr>
      </w:pPr>
      <w:r w:rsidRPr="00182708">
        <w:rPr>
          <w:rFonts w:ascii="Arial" w:eastAsiaTheme="minorEastAsia" w:hAnsi="Arial" w:cs="Arial"/>
        </w:rPr>
        <w:t>These rules shall apply to the Village Board meetings and to those subsidiary boards and committees of the Village</w:t>
      </w:r>
      <w:r w:rsidR="007D7299">
        <w:rPr>
          <w:rFonts w:ascii="Arial" w:eastAsiaTheme="minorEastAsia" w:hAnsi="Arial" w:cs="Arial"/>
        </w:rPr>
        <w:t xml:space="preserve"> with the exception of official public hearings</w:t>
      </w:r>
      <w:r w:rsidR="00D14376">
        <w:rPr>
          <w:rFonts w:ascii="Arial" w:eastAsiaTheme="minorEastAsia" w:hAnsi="Arial" w:cs="Arial"/>
        </w:rPr>
        <w:t xml:space="preserve"> or quasi-judicial meetings</w:t>
      </w:r>
      <w:r w:rsidR="007D7299">
        <w:rPr>
          <w:rFonts w:ascii="Arial" w:eastAsiaTheme="minorEastAsia" w:hAnsi="Arial" w:cs="Arial"/>
        </w:rPr>
        <w:t xml:space="preserve">.  </w:t>
      </w:r>
      <w:r w:rsidRPr="00182708">
        <w:rPr>
          <w:rFonts w:ascii="Arial" w:eastAsiaTheme="minorEastAsia" w:hAnsi="Arial" w:cs="Arial"/>
        </w:rPr>
        <w:t>Public comments shall be governed by the following rules:</w:t>
      </w:r>
    </w:p>
    <w:p w:rsidR="00182708" w:rsidRPr="00182708" w:rsidRDefault="00182708" w:rsidP="00182708">
      <w:pPr>
        <w:numPr>
          <w:ilvl w:val="0"/>
          <w:numId w:val="2"/>
        </w:numPr>
        <w:spacing w:after="200" w:line="276" w:lineRule="auto"/>
        <w:contextualSpacing/>
        <w:jc w:val="both"/>
        <w:rPr>
          <w:rFonts w:ascii="Arial" w:eastAsiaTheme="minorEastAsia" w:hAnsi="Arial" w:cs="Arial"/>
        </w:rPr>
      </w:pPr>
      <w:r w:rsidRPr="00182708">
        <w:rPr>
          <w:rFonts w:ascii="Arial" w:eastAsiaTheme="minorEastAsia" w:hAnsi="Arial" w:cs="Arial"/>
        </w:rPr>
        <w:t xml:space="preserve">A person shall be permitted to speak upon being recognized by the chair and being </w:t>
      </w:r>
      <w:r w:rsidR="00545106">
        <w:rPr>
          <w:rFonts w:ascii="Arial" w:eastAsiaTheme="minorEastAsia" w:hAnsi="Arial" w:cs="Arial"/>
        </w:rPr>
        <w:t>invited</w:t>
      </w:r>
      <w:r w:rsidRPr="00182708">
        <w:rPr>
          <w:rFonts w:ascii="Arial" w:eastAsiaTheme="minorEastAsia" w:hAnsi="Arial" w:cs="Arial"/>
        </w:rPr>
        <w:t xml:space="preserve"> to approach the microphone so that everyone in attendance may hear the speaker.  The person will be invited to introduce themselves </w:t>
      </w:r>
      <w:r w:rsidR="00545106">
        <w:rPr>
          <w:rFonts w:ascii="Arial" w:eastAsiaTheme="minorEastAsia" w:hAnsi="Arial" w:cs="Arial"/>
        </w:rPr>
        <w:t xml:space="preserve">prior to making comments.  Speaking will be </w:t>
      </w:r>
      <w:r w:rsidRPr="00182708">
        <w:rPr>
          <w:rFonts w:ascii="Arial" w:eastAsiaTheme="minorEastAsia" w:hAnsi="Arial" w:cs="Arial"/>
        </w:rPr>
        <w:t>limit</w:t>
      </w:r>
      <w:r w:rsidR="00545106">
        <w:rPr>
          <w:rFonts w:ascii="Arial" w:eastAsiaTheme="minorEastAsia" w:hAnsi="Arial" w:cs="Arial"/>
        </w:rPr>
        <w:t>ed</w:t>
      </w:r>
      <w:r w:rsidRPr="00182708">
        <w:rPr>
          <w:rFonts w:ascii="Arial" w:eastAsiaTheme="minorEastAsia" w:hAnsi="Arial" w:cs="Arial"/>
        </w:rPr>
        <w:t xml:space="preserve"> to no more than five (5) minutes.  A person will be permitted to speak once during the portion of the meeting that is provided for matters not on the agenda and once for each individual agenda item.</w:t>
      </w:r>
    </w:p>
    <w:p w:rsidR="00182708" w:rsidRPr="00182708" w:rsidRDefault="00182708" w:rsidP="00182708">
      <w:pPr>
        <w:spacing w:after="200" w:line="276" w:lineRule="auto"/>
        <w:ind w:left="1800"/>
        <w:contextualSpacing/>
        <w:jc w:val="both"/>
        <w:rPr>
          <w:rFonts w:ascii="Arial" w:eastAsiaTheme="minorEastAsia" w:hAnsi="Arial" w:cs="Arial"/>
        </w:rPr>
      </w:pPr>
    </w:p>
    <w:p w:rsidR="00182708" w:rsidRPr="00182708" w:rsidRDefault="00182708" w:rsidP="00182708">
      <w:pPr>
        <w:numPr>
          <w:ilvl w:val="0"/>
          <w:numId w:val="2"/>
        </w:numPr>
        <w:spacing w:after="200" w:line="276" w:lineRule="auto"/>
        <w:contextualSpacing/>
        <w:jc w:val="both"/>
        <w:rPr>
          <w:rFonts w:ascii="Arial" w:eastAsiaTheme="minorEastAsia" w:hAnsi="Arial" w:cs="Arial"/>
        </w:rPr>
      </w:pPr>
      <w:r w:rsidRPr="00182708">
        <w:rPr>
          <w:rFonts w:ascii="Arial" w:eastAsiaTheme="minorEastAsia" w:hAnsi="Arial" w:cs="Arial"/>
        </w:rPr>
        <w:t>The maximum amount of time an individual speaker is allowed or the maximum amount of time for public comment may be extended by the chair or by a majority of the board or committee present.</w:t>
      </w:r>
    </w:p>
    <w:p w:rsidR="00182708" w:rsidRPr="00182708" w:rsidRDefault="00182708" w:rsidP="00182708">
      <w:pPr>
        <w:pStyle w:val="ListParagraph"/>
        <w:numPr>
          <w:ilvl w:val="0"/>
          <w:numId w:val="2"/>
        </w:numPr>
        <w:spacing w:line="276" w:lineRule="auto"/>
        <w:contextualSpacing/>
        <w:jc w:val="both"/>
        <w:rPr>
          <w:rFonts w:ascii="Arial" w:hAnsi="Arial" w:cs="Arial"/>
          <w:szCs w:val="28"/>
        </w:rPr>
      </w:pPr>
      <w:r w:rsidRPr="00182708">
        <w:rPr>
          <w:rFonts w:ascii="Arial" w:hAnsi="Arial" w:cs="Arial"/>
          <w:szCs w:val="28"/>
        </w:rPr>
        <w:t>Groups are encouraged to designate a single spokesperson in respectful consideration of the time of all attendees.</w:t>
      </w:r>
    </w:p>
    <w:p w:rsidR="00182708" w:rsidRPr="00182708" w:rsidRDefault="00182708" w:rsidP="00182708">
      <w:pPr>
        <w:spacing w:after="200" w:line="276" w:lineRule="auto"/>
        <w:ind w:left="1440"/>
        <w:contextualSpacing/>
        <w:jc w:val="both"/>
        <w:rPr>
          <w:rFonts w:ascii="Arial" w:eastAsiaTheme="minorEastAsia" w:hAnsi="Arial" w:cs="Arial"/>
        </w:rPr>
      </w:pPr>
    </w:p>
    <w:p w:rsidR="00182708" w:rsidRPr="00182708" w:rsidRDefault="00182708" w:rsidP="00182708">
      <w:pPr>
        <w:numPr>
          <w:ilvl w:val="0"/>
          <w:numId w:val="2"/>
        </w:numPr>
        <w:spacing w:after="200" w:line="276" w:lineRule="auto"/>
        <w:contextualSpacing/>
        <w:jc w:val="both"/>
        <w:rPr>
          <w:rFonts w:ascii="Arial" w:eastAsiaTheme="minorEastAsia" w:hAnsi="Arial" w:cs="Arial"/>
        </w:rPr>
      </w:pPr>
      <w:r w:rsidRPr="00182708">
        <w:rPr>
          <w:rFonts w:ascii="Arial" w:eastAsiaTheme="minorEastAsia" w:hAnsi="Arial" w:cs="Arial"/>
        </w:rPr>
        <w:t>Any member of the board or committee may ask questions of a speaker after that speaker has concluded his or her comments.</w:t>
      </w:r>
    </w:p>
    <w:p w:rsidR="00182708" w:rsidRPr="00182708" w:rsidRDefault="00182708" w:rsidP="00182708">
      <w:pPr>
        <w:spacing w:after="200" w:line="276" w:lineRule="auto"/>
        <w:ind w:left="1800"/>
        <w:contextualSpacing/>
        <w:jc w:val="both"/>
        <w:rPr>
          <w:rFonts w:ascii="Arial" w:eastAsiaTheme="minorEastAsia" w:hAnsi="Arial" w:cs="Arial"/>
        </w:rPr>
      </w:pPr>
    </w:p>
    <w:p w:rsidR="00182708" w:rsidRPr="00182708" w:rsidRDefault="00182708" w:rsidP="00182708">
      <w:pPr>
        <w:numPr>
          <w:ilvl w:val="0"/>
          <w:numId w:val="2"/>
        </w:numPr>
        <w:spacing w:after="200" w:line="276" w:lineRule="auto"/>
        <w:contextualSpacing/>
        <w:jc w:val="both"/>
        <w:rPr>
          <w:rFonts w:ascii="Arial" w:eastAsiaTheme="minorEastAsia" w:hAnsi="Arial" w:cs="Arial"/>
        </w:rPr>
      </w:pPr>
      <w:r w:rsidRPr="00182708">
        <w:rPr>
          <w:rFonts w:ascii="Arial" w:eastAsiaTheme="minorEastAsia" w:hAnsi="Arial" w:cs="Arial"/>
        </w:rPr>
        <w:t>All comments made by a person shall be respectful and avoid obscene or insulting statements</w:t>
      </w:r>
      <w:r w:rsidR="007D7299">
        <w:rPr>
          <w:rFonts w:ascii="Arial" w:eastAsiaTheme="minorEastAsia" w:hAnsi="Arial" w:cs="Arial"/>
        </w:rPr>
        <w:t xml:space="preserve"> </w:t>
      </w:r>
      <w:r w:rsidRPr="00182708">
        <w:rPr>
          <w:rFonts w:ascii="Arial" w:eastAsiaTheme="minorEastAsia" w:hAnsi="Arial" w:cs="Arial"/>
        </w:rPr>
        <w:t xml:space="preserve">and </w:t>
      </w:r>
      <w:r w:rsidR="002B657F">
        <w:rPr>
          <w:rFonts w:ascii="Arial" w:eastAsiaTheme="minorEastAsia" w:hAnsi="Arial" w:cs="Arial"/>
        </w:rPr>
        <w:t xml:space="preserve">free of </w:t>
      </w:r>
      <w:r w:rsidRPr="00182708">
        <w:rPr>
          <w:rFonts w:ascii="Arial" w:eastAsiaTheme="minorEastAsia" w:hAnsi="Arial" w:cs="Arial"/>
        </w:rPr>
        <w:t xml:space="preserve">disruptive </w:t>
      </w:r>
      <w:r w:rsidR="002B657F">
        <w:rPr>
          <w:rFonts w:ascii="Arial" w:eastAsiaTheme="minorEastAsia" w:hAnsi="Arial" w:cs="Arial"/>
        </w:rPr>
        <w:t xml:space="preserve">behavior </w:t>
      </w:r>
      <w:r w:rsidR="007D7299">
        <w:rPr>
          <w:rFonts w:ascii="Arial" w:eastAsiaTheme="minorEastAsia" w:hAnsi="Arial" w:cs="Arial"/>
        </w:rPr>
        <w:t xml:space="preserve">in order </w:t>
      </w:r>
      <w:r w:rsidR="002B657F">
        <w:rPr>
          <w:rFonts w:ascii="Arial" w:eastAsiaTheme="minorEastAsia" w:hAnsi="Arial" w:cs="Arial"/>
        </w:rPr>
        <w:t>to preserve the decorum of a meeting.</w:t>
      </w:r>
    </w:p>
    <w:p w:rsidR="00182708" w:rsidRPr="00182708" w:rsidRDefault="00182708" w:rsidP="00182708">
      <w:pPr>
        <w:pStyle w:val="ListParagraph"/>
        <w:numPr>
          <w:ilvl w:val="0"/>
          <w:numId w:val="2"/>
        </w:numPr>
        <w:spacing w:line="276" w:lineRule="auto"/>
        <w:contextualSpacing/>
        <w:jc w:val="both"/>
        <w:rPr>
          <w:rFonts w:ascii="Arial" w:hAnsi="Arial" w:cs="Arial"/>
          <w:szCs w:val="28"/>
        </w:rPr>
      </w:pPr>
      <w:r w:rsidRPr="00182708">
        <w:rPr>
          <w:rFonts w:ascii="Arial" w:hAnsi="Arial" w:cs="Arial"/>
          <w:szCs w:val="28"/>
        </w:rPr>
        <w:t>All public comment shall be addressed to the public body as a whole and no comments shall be addressed</w:t>
      </w:r>
      <w:r w:rsidR="007D7299">
        <w:rPr>
          <w:rFonts w:ascii="Arial" w:hAnsi="Arial" w:cs="Arial"/>
          <w:szCs w:val="28"/>
        </w:rPr>
        <w:t xml:space="preserve"> to</w:t>
      </w:r>
      <w:r w:rsidRPr="00182708">
        <w:rPr>
          <w:rFonts w:ascii="Arial" w:hAnsi="Arial" w:cs="Arial"/>
          <w:szCs w:val="28"/>
        </w:rPr>
        <w:t xml:space="preserve"> Village staff or other members of the public.</w:t>
      </w:r>
    </w:p>
    <w:p w:rsidR="00182708" w:rsidRPr="00182708" w:rsidRDefault="00182708" w:rsidP="00182708">
      <w:pPr>
        <w:spacing w:after="200" w:line="276" w:lineRule="auto"/>
        <w:contextualSpacing/>
        <w:jc w:val="both"/>
        <w:rPr>
          <w:rFonts w:ascii="Arial" w:eastAsiaTheme="minorEastAsia" w:hAnsi="Arial" w:cs="Arial"/>
          <w:highlight w:val="yellow"/>
        </w:rPr>
      </w:pPr>
    </w:p>
    <w:p w:rsidR="00182708" w:rsidRPr="00182708" w:rsidRDefault="00182708" w:rsidP="00182708">
      <w:pPr>
        <w:numPr>
          <w:ilvl w:val="0"/>
          <w:numId w:val="2"/>
        </w:numPr>
        <w:spacing w:after="200" w:line="276" w:lineRule="auto"/>
        <w:contextualSpacing/>
        <w:jc w:val="both"/>
        <w:rPr>
          <w:rFonts w:ascii="Arial" w:eastAsiaTheme="minorEastAsia" w:hAnsi="Arial" w:cs="Arial"/>
        </w:rPr>
      </w:pPr>
      <w:r w:rsidRPr="00182708">
        <w:rPr>
          <w:rFonts w:ascii="Arial" w:eastAsiaTheme="minorEastAsia" w:hAnsi="Arial" w:cs="Arial"/>
        </w:rPr>
        <w:t>The public body shall have the authority to terminate speakers who fail to adhere to the above rules.</w:t>
      </w:r>
    </w:p>
    <w:p w:rsidR="00182708" w:rsidRPr="00182708" w:rsidRDefault="00182708" w:rsidP="00182708">
      <w:pPr>
        <w:spacing w:line="276" w:lineRule="auto"/>
        <w:ind w:left="720"/>
        <w:contextualSpacing/>
        <w:jc w:val="both"/>
        <w:rPr>
          <w:rFonts w:ascii="Arial" w:hAnsi="Arial" w:cs="Arial"/>
          <w:szCs w:val="28"/>
          <w:highlight w:val="yellow"/>
        </w:rPr>
      </w:pPr>
    </w:p>
    <w:p w:rsidR="00182708" w:rsidRPr="00182708" w:rsidRDefault="00182708" w:rsidP="00182708">
      <w:pPr>
        <w:spacing w:line="276" w:lineRule="auto"/>
        <w:ind w:left="720"/>
        <w:contextualSpacing/>
        <w:jc w:val="both"/>
        <w:rPr>
          <w:rFonts w:ascii="Arial" w:hAnsi="Arial" w:cs="Arial"/>
          <w:szCs w:val="28"/>
        </w:rPr>
      </w:pPr>
      <w:r w:rsidRPr="00182708">
        <w:rPr>
          <w:rFonts w:ascii="Arial" w:hAnsi="Arial" w:cs="Arial"/>
          <w:szCs w:val="28"/>
        </w:rPr>
        <w:t>The Board may refer any matter of public comment to the Village Manager, Village staff, an appropriate agency for review, or may place the matter on a subsequent agenda for discussion.</w:t>
      </w:r>
    </w:p>
    <w:p w:rsidR="00182708" w:rsidRPr="00182708" w:rsidRDefault="00182708" w:rsidP="00182708">
      <w:pPr>
        <w:spacing w:line="276" w:lineRule="auto"/>
        <w:contextualSpacing/>
        <w:jc w:val="both"/>
        <w:rPr>
          <w:rFonts w:ascii="Arial" w:hAnsi="Arial" w:cs="Arial"/>
          <w:szCs w:val="28"/>
          <w:highlight w:val="yellow"/>
        </w:rPr>
      </w:pPr>
    </w:p>
    <w:p w:rsidR="003B6AB6" w:rsidRDefault="00182708" w:rsidP="00182708">
      <w:pPr>
        <w:spacing w:line="276" w:lineRule="auto"/>
        <w:contextualSpacing/>
        <w:jc w:val="both"/>
        <w:rPr>
          <w:rFonts w:ascii="Arial" w:hAnsi="Arial" w:cs="Arial"/>
          <w:szCs w:val="28"/>
        </w:rPr>
      </w:pPr>
      <w:r w:rsidRPr="00182708">
        <w:rPr>
          <w:rFonts w:ascii="Arial" w:hAnsi="Arial" w:cs="Arial"/>
          <w:szCs w:val="28"/>
        </w:rPr>
        <w:tab/>
      </w:r>
    </w:p>
    <w:p w:rsidR="003B6AB6" w:rsidRDefault="003B6AB6" w:rsidP="00182708">
      <w:pPr>
        <w:spacing w:line="276" w:lineRule="auto"/>
        <w:contextualSpacing/>
        <w:jc w:val="both"/>
        <w:rPr>
          <w:rFonts w:ascii="Arial" w:hAnsi="Arial" w:cs="Arial"/>
          <w:szCs w:val="28"/>
        </w:rPr>
      </w:pPr>
      <w:bookmarkStart w:id="0" w:name="_GoBack"/>
      <w:bookmarkEnd w:id="0"/>
    </w:p>
    <w:p w:rsidR="00182708" w:rsidRPr="00182708" w:rsidRDefault="00182708" w:rsidP="003B6AB6">
      <w:pPr>
        <w:spacing w:line="276" w:lineRule="auto"/>
        <w:ind w:firstLine="720"/>
        <w:contextualSpacing/>
        <w:jc w:val="both"/>
        <w:rPr>
          <w:rFonts w:ascii="Arial" w:hAnsi="Arial" w:cs="Arial"/>
          <w:b/>
          <w:szCs w:val="28"/>
          <w:u w:val="single"/>
        </w:rPr>
      </w:pPr>
      <w:r w:rsidRPr="00182708">
        <w:rPr>
          <w:rFonts w:ascii="Arial" w:hAnsi="Arial" w:cs="Arial"/>
          <w:b/>
          <w:szCs w:val="28"/>
          <w:u w:val="single"/>
        </w:rPr>
        <w:t>Recording of Public Meetings</w:t>
      </w:r>
    </w:p>
    <w:p w:rsidR="00182708" w:rsidRPr="00182708" w:rsidRDefault="00182708" w:rsidP="00182708">
      <w:pPr>
        <w:spacing w:line="276" w:lineRule="auto"/>
        <w:contextualSpacing/>
        <w:jc w:val="both"/>
        <w:rPr>
          <w:rFonts w:ascii="Arial" w:hAnsi="Arial" w:cs="Arial"/>
          <w:szCs w:val="28"/>
        </w:rPr>
      </w:pPr>
    </w:p>
    <w:p w:rsidR="00182708" w:rsidRPr="00182708" w:rsidRDefault="00182708" w:rsidP="00182708">
      <w:pPr>
        <w:spacing w:after="200" w:line="276" w:lineRule="auto"/>
        <w:ind w:left="720"/>
        <w:rPr>
          <w:rFonts w:ascii="Arial" w:eastAsiaTheme="minorEastAsia" w:hAnsi="Arial" w:cs="Arial"/>
        </w:rPr>
      </w:pPr>
      <w:r w:rsidRPr="00182708">
        <w:rPr>
          <w:rFonts w:ascii="Arial" w:eastAsiaTheme="minorEastAsia" w:hAnsi="Arial" w:cs="Arial"/>
        </w:rPr>
        <w:t xml:space="preserve">It is the Village’s policy to cooperate with representatives of the media and with other members of the public who wish to record public meetings by tape, film or other means, provided </w:t>
      </w:r>
      <w:r w:rsidRPr="00182708">
        <w:rPr>
          <w:rFonts w:ascii="Arial" w:eastAsiaTheme="minorEastAsia" w:hAnsi="Arial" w:cs="Arial"/>
          <w:color w:val="000000"/>
        </w:rPr>
        <w:t xml:space="preserve">said recording </w:t>
      </w:r>
      <w:r w:rsidRPr="00182708">
        <w:rPr>
          <w:rFonts w:ascii="Arial" w:eastAsiaTheme="minorEastAsia" w:hAnsi="Arial" w:cs="Arial"/>
        </w:rPr>
        <w:t>does not disrupt the meeting, and does not interfere with the rights of the members of the public body and the public.</w:t>
      </w:r>
    </w:p>
    <w:p w:rsidR="00182708" w:rsidRPr="00182708" w:rsidRDefault="00182708" w:rsidP="00182708">
      <w:pPr>
        <w:spacing w:before="240" w:line="300" w:lineRule="exact"/>
        <w:ind w:left="720"/>
        <w:rPr>
          <w:rFonts w:ascii="Arial" w:eastAsiaTheme="minorEastAsia" w:hAnsi="Arial" w:cs="Arial"/>
        </w:rPr>
      </w:pPr>
      <w:r w:rsidRPr="00182708">
        <w:rPr>
          <w:rFonts w:ascii="Arial" w:eastAsiaTheme="minorEastAsia" w:hAnsi="Arial" w:cs="Arial"/>
        </w:rPr>
        <w:t>Any person may record the proceedings of a public meeting by tape, film or other means subject to the rules outlined below for the meetings of the Village Board and subsidiary boards and committees of the Village.</w:t>
      </w:r>
      <w:r w:rsidRPr="00182708">
        <w:rPr>
          <w:rFonts w:ascii="Arial" w:eastAsiaTheme="minorEastAsia" w:hAnsi="Arial" w:cs="Arial"/>
        </w:rPr>
        <w:tab/>
      </w:r>
    </w:p>
    <w:p w:rsidR="00182708" w:rsidRPr="00182708" w:rsidRDefault="00182708" w:rsidP="002B657F">
      <w:pPr>
        <w:numPr>
          <w:ilvl w:val="0"/>
          <w:numId w:val="1"/>
        </w:numPr>
        <w:spacing w:before="240" w:after="200" w:line="240" w:lineRule="exact"/>
        <w:ind w:left="1800"/>
        <w:jc w:val="both"/>
        <w:rPr>
          <w:rFonts w:ascii="Arial" w:eastAsiaTheme="minorEastAsia" w:hAnsi="Arial" w:cs="Arial"/>
        </w:rPr>
      </w:pPr>
      <w:r w:rsidRPr="00182708">
        <w:rPr>
          <w:rFonts w:ascii="Arial" w:eastAsiaTheme="minorEastAsia" w:hAnsi="Arial" w:cs="Arial"/>
        </w:rPr>
        <w:t>Meetings closed to the public may not be recorded except as required and authorized by the Open Meetings Act.</w:t>
      </w:r>
    </w:p>
    <w:p w:rsidR="00182708" w:rsidRPr="00182708" w:rsidRDefault="00182708" w:rsidP="002B657F">
      <w:pPr>
        <w:numPr>
          <w:ilvl w:val="0"/>
          <w:numId w:val="1"/>
        </w:numPr>
        <w:spacing w:before="240" w:after="200" w:line="240" w:lineRule="exact"/>
        <w:ind w:left="1800"/>
        <w:jc w:val="both"/>
        <w:rPr>
          <w:rFonts w:ascii="Arial" w:eastAsiaTheme="minorEastAsia" w:hAnsi="Arial" w:cs="Arial"/>
        </w:rPr>
      </w:pPr>
      <w:r w:rsidRPr="00182708">
        <w:rPr>
          <w:rFonts w:ascii="Arial" w:eastAsiaTheme="minorEastAsia" w:hAnsi="Arial" w:cs="Arial"/>
        </w:rPr>
        <w:t>The Public Body may designate a location for recording equipment, restrict the movements of individuals who are using the recording equipment or take other steps that are deemed necessary to preserve the decorum of the meeting and facilitate the conduct of business.</w:t>
      </w:r>
    </w:p>
    <w:p w:rsidR="00182708" w:rsidRDefault="00182708" w:rsidP="002B657F">
      <w:pPr>
        <w:numPr>
          <w:ilvl w:val="0"/>
          <w:numId w:val="1"/>
        </w:numPr>
        <w:spacing w:before="240" w:after="200" w:line="240" w:lineRule="exact"/>
        <w:ind w:left="1800"/>
        <w:jc w:val="both"/>
        <w:rPr>
          <w:rFonts w:ascii="Arial" w:eastAsiaTheme="minorEastAsia" w:hAnsi="Arial" w:cs="Arial"/>
        </w:rPr>
      </w:pPr>
      <w:r w:rsidRPr="00182708">
        <w:rPr>
          <w:rFonts w:ascii="Arial" w:eastAsiaTheme="minorEastAsia" w:hAnsi="Arial" w:cs="Arial"/>
        </w:rPr>
        <w:t>The Public Body may prohibit the recording of any audience member who objects to being recorded in a quasi-judicial meeting.</w:t>
      </w:r>
    </w:p>
    <w:p w:rsidR="00182708" w:rsidRDefault="00182708" w:rsidP="00182708">
      <w:pPr>
        <w:spacing w:before="240" w:after="200" w:line="240" w:lineRule="exact"/>
        <w:jc w:val="both"/>
        <w:rPr>
          <w:rFonts w:ascii="Arial" w:eastAsiaTheme="minorEastAsia" w:hAnsi="Arial" w:cs="Arial"/>
        </w:rPr>
      </w:pPr>
    </w:p>
    <w:p w:rsidR="00182708" w:rsidRDefault="00182708" w:rsidP="00182708">
      <w:pPr>
        <w:spacing w:before="240" w:after="200" w:line="240" w:lineRule="exact"/>
        <w:jc w:val="both"/>
        <w:rPr>
          <w:rFonts w:ascii="Arial" w:eastAsiaTheme="minorEastAsia" w:hAnsi="Arial" w:cs="Arial"/>
        </w:rPr>
      </w:pPr>
    </w:p>
    <w:p w:rsidR="00182708" w:rsidRDefault="00182708" w:rsidP="00182708">
      <w:pPr>
        <w:spacing w:before="240" w:after="200" w:line="240" w:lineRule="exact"/>
        <w:jc w:val="both"/>
        <w:rPr>
          <w:rFonts w:ascii="Arial" w:eastAsiaTheme="minorEastAsia" w:hAnsi="Arial" w:cs="Arial"/>
        </w:rPr>
      </w:pPr>
    </w:p>
    <w:p w:rsidR="00182708" w:rsidRPr="00182708" w:rsidRDefault="00182708" w:rsidP="00182708">
      <w:pPr>
        <w:spacing w:before="240" w:after="200" w:line="240" w:lineRule="exact"/>
        <w:ind w:left="720"/>
        <w:jc w:val="both"/>
        <w:rPr>
          <w:rFonts w:ascii="Arial" w:eastAsiaTheme="minorEastAsia" w:hAnsi="Arial" w:cs="Arial"/>
          <w:i/>
        </w:rPr>
      </w:pPr>
      <w:r>
        <w:rPr>
          <w:rFonts w:ascii="Arial" w:eastAsiaTheme="minorEastAsia" w:hAnsi="Arial" w:cs="Arial"/>
          <w:i/>
        </w:rPr>
        <w:t>This policy was adopted by Resolution 2017-</w:t>
      </w:r>
      <w:r w:rsidR="00AE1A52">
        <w:rPr>
          <w:rFonts w:ascii="Arial" w:eastAsiaTheme="minorEastAsia" w:hAnsi="Arial" w:cs="Arial"/>
          <w:i/>
        </w:rPr>
        <w:t>10</w:t>
      </w:r>
      <w:r>
        <w:rPr>
          <w:rFonts w:ascii="Arial" w:eastAsiaTheme="minorEastAsia" w:hAnsi="Arial" w:cs="Arial"/>
          <w:i/>
        </w:rPr>
        <w:t xml:space="preserve"> on November 20, 2017.  </w:t>
      </w:r>
    </w:p>
    <w:p w:rsidR="009F436A" w:rsidRPr="00182708" w:rsidRDefault="009F436A">
      <w:pPr>
        <w:rPr>
          <w:rFonts w:ascii="Arial" w:hAnsi="Arial" w:cs="Arial"/>
        </w:rPr>
      </w:pPr>
    </w:p>
    <w:sectPr w:rsidR="009F436A" w:rsidRPr="00182708" w:rsidSect="00AF47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37D1E"/>
    <w:multiLevelType w:val="hybridMultilevel"/>
    <w:tmpl w:val="BE84643A"/>
    <w:lvl w:ilvl="0" w:tplc="DCFC4F4A">
      <w:start w:val="1"/>
      <w:numFmt w:val="decimal"/>
      <w:lvlText w:val="(%1)"/>
      <w:lvlJc w:val="left"/>
      <w:pPr>
        <w:ind w:left="1800" w:hanging="360"/>
      </w:pPr>
      <w:rPr>
        <w:rFonts w:hint="default"/>
      </w:rPr>
    </w:lvl>
    <w:lvl w:ilvl="1" w:tplc="1DC0CAA0">
      <w:start w:val="1"/>
      <w:numFmt w:val="lowerLetter"/>
      <w:lvlText w:val="%2."/>
      <w:lvlJc w:val="left"/>
      <w:pPr>
        <w:ind w:left="2520" w:hanging="360"/>
      </w:pPr>
    </w:lvl>
    <w:lvl w:ilvl="2" w:tplc="DF0450D8" w:tentative="1">
      <w:start w:val="1"/>
      <w:numFmt w:val="lowerRoman"/>
      <w:lvlText w:val="%3."/>
      <w:lvlJc w:val="right"/>
      <w:pPr>
        <w:ind w:left="3240" w:hanging="180"/>
      </w:pPr>
    </w:lvl>
    <w:lvl w:ilvl="3" w:tplc="DB56F83E" w:tentative="1">
      <w:start w:val="1"/>
      <w:numFmt w:val="decimal"/>
      <w:lvlText w:val="%4."/>
      <w:lvlJc w:val="left"/>
      <w:pPr>
        <w:ind w:left="3960" w:hanging="360"/>
      </w:pPr>
    </w:lvl>
    <w:lvl w:ilvl="4" w:tplc="EC1C7924" w:tentative="1">
      <w:start w:val="1"/>
      <w:numFmt w:val="lowerLetter"/>
      <w:lvlText w:val="%5."/>
      <w:lvlJc w:val="left"/>
      <w:pPr>
        <w:ind w:left="4680" w:hanging="360"/>
      </w:pPr>
    </w:lvl>
    <w:lvl w:ilvl="5" w:tplc="C742CF7A" w:tentative="1">
      <w:start w:val="1"/>
      <w:numFmt w:val="lowerRoman"/>
      <w:lvlText w:val="%6."/>
      <w:lvlJc w:val="right"/>
      <w:pPr>
        <w:ind w:left="5400" w:hanging="180"/>
      </w:pPr>
    </w:lvl>
    <w:lvl w:ilvl="6" w:tplc="FA7AB166" w:tentative="1">
      <w:start w:val="1"/>
      <w:numFmt w:val="decimal"/>
      <w:lvlText w:val="%7."/>
      <w:lvlJc w:val="left"/>
      <w:pPr>
        <w:ind w:left="6120" w:hanging="360"/>
      </w:pPr>
    </w:lvl>
    <w:lvl w:ilvl="7" w:tplc="377C0308" w:tentative="1">
      <w:start w:val="1"/>
      <w:numFmt w:val="lowerLetter"/>
      <w:lvlText w:val="%8."/>
      <w:lvlJc w:val="left"/>
      <w:pPr>
        <w:ind w:left="6840" w:hanging="360"/>
      </w:pPr>
    </w:lvl>
    <w:lvl w:ilvl="8" w:tplc="8182DCC4" w:tentative="1">
      <w:start w:val="1"/>
      <w:numFmt w:val="lowerRoman"/>
      <w:lvlText w:val="%9."/>
      <w:lvlJc w:val="right"/>
      <w:pPr>
        <w:ind w:left="7560" w:hanging="180"/>
      </w:pPr>
    </w:lvl>
  </w:abstractNum>
  <w:abstractNum w:abstractNumId="1" w15:restartNumberingAfterBreak="0">
    <w:nsid w:val="7A0437BE"/>
    <w:multiLevelType w:val="hybridMultilevel"/>
    <w:tmpl w:val="8864EB24"/>
    <w:lvl w:ilvl="0" w:tplc="7390C8D6">
      <w:start w:val="1"/>
      <w:numFmt w:val="decimal"/>
      <w:lvlText w:val="(%1)"/>
      <w:lvlJc w:val="left"/>
      <w:pPr>
        <w:ind w:left="3780" w:hanging="360"/>
      </w:pPr>
      <w:rPr>
        <w:rFonts w:hint="default"/>
      </w:rPr>
    </w:lvl>
    <w:lvl w:ilvl="1" w:tplc="4406140C" w:tentative="1">
      <w:start w:val="1"/>
      <w:numFmt w:val="lowerLetter"/>
      <w:lvlText w:val="%2."/>
      <w:lvlJc w:val="left"/>
      <w:pPr>
        <w:ind w:left="4500" w:hanging="360"/>
      </w:pPr>
    </w:lvl>
    <w:lvl w:ilvl="2" w:tplc="9252C344" w:tentative="1">
      <w:start w:val="1"/>
      <w:numFmt w:val="lowerRoman"/>
      <w:lvlText w:val="%3."/>
      <w:lvlJc w:val="right"/>
      <w:pPr>
        <w:ind w:left="5220" w:hanging="180"/>
      </w:pPr>
    </w:lvl>
    <w:lvl w:ilvl="3" w:tplc="969C50A6" w:tentative="1">
      <w:start w:val="1"/>
      <w:numFmt w:val="decimal"/>
      <w:lvlText w:val="%4."/>
      <w:lvlJc w:val="left"/>
      <w:pPr>
        <w:ind w:left="5940" w:hanging="360"/>
      </w:pPr>
    </w:lvl>
    <w:lvl w:ilvl="4" w:tplc="69B23D28" w:tentative="1">
      <w:start w:val="1"/>
      <w:numFmt w:val="lowerLetter"/>
      <w:lvlText w:val="%5."/>
      <w:lvlJc w:val="left"/>
      <w:pPr>
        <w:ind w:left="6660" w:hanging="360"/>
      </w:pPr>
    </w:lvl>
    <w:lvl w:ilvl="5" w:tplc="B6EE73B4" w:tentative="1">
      <w:start w:val="1"/>
      <w:numFmt w:val="lowerRoman"/>
      <w:lvlText w:val="%6."/>
      <w:lvlJc w:val="right"/>
      <w:pPr>
        <w:ind w:left="7380" w:hanging="180"/>
      </w:pPr>
    </w:lvl>
    <w:lvl w:ilvl="6" w:tplc="5E264DC0" w:tentative="1">
      <w:start w:val="1"/>
      <w:numFmt w:val="decimal"/>
      <w:lvlText w:val="%7."/>
      <w:lvlJc w:val="left"/>
      <w:pPr>
        <w:ind w:left="8100" w:hanging="360"/>
      </w:pPr>
    </w:lvl>
    <w:lvl w:ilvl="7" w:tplc="3B7C8BDC" w:tentative="1">
      <w:start w:val="1"/>
      <w:numFmt w:val="lowerLetter"/>
      <w:lvlText w:val="%8."/>
      <w:lvlJc w:val="left"/>
      <w:pPr>
        <w:ind w:left="8820" w:hanging="360"/>
      </w:pPr>
    </w:lvl>
    <w:lvl w:ilvl="8" w:tplc="FDA65E76" w:tentative="1">
      <w:start w:val="1"/>
      <w:numFmt w:val="lowerRoman"/>
      <w:lvlText w:val="%9."/>
      <w:lvlJc w:val="right"/>
      <w:pPr>
        <w:ind w:left="9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08"/>
    <w:rsid w:val="00182708"/>
    <w:rsid w:val="002B657F"/>
    <w:rsid w:val="003B6AB6"/>
    <w:rsid w:val="00545106"/>
    <w:rsid w:val="007D7299"/>
    <w:rsid w:val="009F436A"/>
    <w:rsid w:val="00AE1A52"/>
    <w:rsid w:val="00AF4789"/>
    <w:rsid w:val="00B43207"/>
    <w:rsid w:val="00D1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1DAC4-E2D8-4BDA-8641-0E6B9FC5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708"/>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Wachtel</dc:creator>
  <cp:keywords/>
  <dc:description/>
  <cp:lastModifiedBy>Susan L. Greenwood</cp:lastModifiedBy>
  <cp:revision>3</cp:revision>
  <dcterms:created xsi:type="dcterms:W3CDTF">2017-12-01T17:53:00Z</dcterms:created>
  <dcterms:modified xsi:type="dcterms:W3CDTF">2017-12-01T17:54:00Z</dcterms:modified>
</cp:coreProperties>
</file>